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FD6BCD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FD6BCD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元朗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3A1300" w:rsidRPr="00E47E8B" w:rsidRDefault="003A1300" w:rsidP="003A1300">
      <w:pPr>
        <w:tabs>
          <w:tab w:val="left" w:pos="2268"/>
          <w:tab w:val="left" w:pos="5245"/>
        </w:tabs>
        <w:spacing w:line="240" w:lineRule="atLeast"/>
        <w:ind w:left="567" w:hanging="567"/>
        <w:jc w:val="center"/>
        <w:rPr>
          <w:rFonts w:eastAsia="華康細明體"/>
          <w:spacing w:val="20"/>
          <w:sz w:val="24"/>
          <w:szCs w:val="24"/>
        </w:rPr>
      </w:pPr>
      <w:r w:rsidRPr="00E47E8B">
        <w:rPr>
          <w:rFonts w:eastAsia="華康細明體"/>
          <w:spacing w:val="20"/>
          <w:sz w:val="24"/>
          <w:szCs w:val="24"/>
        </w:rPr>
        <w:t>元朗民政事務處</w:t>
      </w:r>
      <w:bookmarkStart w:id="0" w:name="_GoBack"/>
      <w:bookmarkEnd w:id="0"/>
    </w:p>
    <w:p w:rsidR="003A1300" w:rsidRPr="00E47E8B" w:rsidRDefault="003A1300" w:rsidP="003A1300">
      <w:pPr>
        <w:tabs>
          <w:tab w:val="left" w:pos="2268"/>
          <w:tab w:val="left" w:pos="6660"/>
        </w:tabs>
        <w:ind w:left="567" w:hanging="567"/>
        <w:jc w:val="center"/>
        <w:rPr>
          <w:rFonts w:eastAsia="華康細明體"/>
        </w:rPr>
      </w:pPr>
      <w:r w:rsidRPr="00E47E8B">
        <w:rPr>
          <w:rFonts w:eastAsia="華康細明體"/>
          <w:spacing w:val="20"/>
          <w:sz w:val="24"/>
          <w:szCs w:val="24"/>
          <w:u w:val="single"/>
        </w:rPr>
        <w:t>3426 2025</w:t>
      </w:r>
      <w:r w:rsidRPr="00E47E8B">
        <w:rPr>
          <w:rFonts w:eastAsia="華康細明體"/>
          <w:spacing w:val="20"/>
          <w:sz w:val="24"/>
          <w:szCs w:val="24"/>
        </w:rPr>
        <w:t xml:space="preserve"> (</w:t>
      </w:r>
      <w:r w:rsidRPr="00E47E8B">
        <w:rPr>
          <w:rFonts w:eastAsia="華康細明體"/>
          <w:spacing w:val="20"/>
          <w:sz w:val="24"/>
          <w:szCs w:val="24"/>
        </w:rPr>
        <w:t>電話號碼</w:t>
      </w:r>
      <w:r w:rsidRPr="00E47E8B">
        <w:rPr>
          <w:rFonts w:eastAsia="華康細明體"/>
          <w:spacing w:val="20"/>
          <w:sz w:val="24"/>
          <w:szCs w:val="24"/>
        </w:rPr>
        <w:t>)</w:t>
      </w:r>
    </w:p>
    <w:p w:rsidR="0022305A" w:rsidRPr="003A1300" w:rsidRDefault="0022305A" w:rsidP="003A1300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z w:val="24"/>
          <w:szCs w:val="24"/>
        </w:rPr>
      </w:pPr>
    </w:p>
    <w:sectPr w:rsidR="0022305A" w:rsidRPr="003A1300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D" w:rsidRDefault="009657AD">
      <w:r>
        <w:separator/>
      </w:r>
    </w:p>
  </w:endnote>
  <w:endnote w:type="continuationSeparator" w:id="0">
    <w:p w:rsidR="009657AD" w:rsidRDefault="0096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3A1300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3A1300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D" w:rsidRDefault="009657AD">
      <w:r>
        <w:separator/>
      </w:r>
    </w:p>
  </w:footnote>
  <w:footnote w:type="continuationSeparator" w:id="0">
    <w:p w:rsidR="009657AD" w:rsidRDefault="009657AD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1300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36BA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6BCD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BC84AE1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5902-B52C-4BB5-A682-A21F6173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2744</Words>
  <Characters>1332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HADUSER</cp:lastModifiedBy>
  <cp:revision>35</cp:revision>
  <cp:lastPrinted>2024-03-21T07:59:00Z</cp:lastPrinted>
  <dcterms:created xsi:type="dcterms:W3CDTF">2024-01-05T03:32:00Z</dcterms:created>
  <dcterms:modified xsi:type="dcterms:W3CDTF">2024-03-22T07:39:00Z</dcterms:modified>
</cp:coreProperties>
</file>