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ED5F85" w:rsidRPr="00ED5F85" w:rsidRDefault="00ED5F85" w:rsidP="00ED5F85">
      <w:pPr>
        <w:tabs>
          <w:tab w:val="left" w:pos="567"/>
          <w:tab w:val="left" w:pos="1134"/>
          <w:tab w:val="left" w:pos="1701"/>
        </w:tabs>
        <w:adjustRightInd w:val="0"/>
        <w:spacing w:line="400" w:lineRule="exact"/>
        <w:ind w:left="567" w:hanging="567"/>
        <w:jc w:val="left"/>
        <w:textAlignment w:val="baseline"/>
        <w:rPr>
          <w:rFonts w:ascii="華康細明體" w:hAnsi="華康細明體"/>
          <w:kern w:val="0"/>
          <w:sz w:val="28"/>
          <w:szCs w:val="28"/>
        </w:rPr>
      </w:pPr>
    </w:p>
    <w:p w:rsidR="00ED5F85" w:rsidRPr="00ED5F85" w:rsidRDefault="00ED5F85" w:rsidP="00ED5F85">
      <w:pPr>
        <w:adjustRightInd w:val="0"/>
        <w:snapToGrid w:val="0"/>
        <w:spacing w:line="360" w:lineRule="atLeast"/>
        <w:ind w:rightChars="35" w:right="98"/>
        <w:jc w:val="center"/>
        <w:textAlignment w:val="baseline"/>
        <w:rPr>
          <w:rFonts w:eastAsia="標楷體"/>
          <w:spacing w:val="0"/>
          <w:kern w:val="0"/>
          <w:sz w:val="32"/>
          <w:szCs w:val="32"/>
          <w:u w:val="single"/>
        </w:rPr>
      </w:pPr>
      <w:r w:rsidRPr="00ED5F85">
        <w:rPr>
          <w:rFonts w:hint="eastAsia"/>
          <w:kern w:val="0"/>
          <w:u w:val="single"/>
        </w:rPr>
        <w:t>      </w:t>
      </w:r>
      <w:r w:rsidRPr="00ED5F85">
        <w:rPr>
          <w:rFonts w:hint="eastAsia"/>
          <w:kern w:val="0"/>
          <w:u w:val="single"/>
        </w:rPr>
        <w:t>大埔</w:t>
      </w:r>
      <w:r w:rsidRPr="00ED5F85">
        <w:rPr>
          <w:kern w:val="0"/>
          <w:u w:val="single"/>
        </w:rPr>
        <w:t>民政事務處總務秘書</w:t>
      </w:r>
      <w:r w:rsidRPr="00ED5F85">
        <w:rPr>
          <w:rFonts w:hint="eastAsia"/>
          <w:kern w:val="0"/>
          <w:u w:val="single"/>
        </w:rPr>
        <w:t>      </w:t>
      </w:r>
    </w:p>
    <w:p w:rsidR="00ED5F85" w:rsidRPr="00ED5F85" w:rsidRDefault="00ED5F85" w:rsidP="00ED5F85">
      <w:pPr>
        <w:tabs>
          <w:tab w:val="left" w:pos="2694"/>
          <w:tab w:val="left" w:pos="6804"/>
        </w:tabs>
        <w:adjustRightInd w:val="0"/>
        <w:snapToGrid w:val="0"/>
        <w:spacing w:line="360" w:lineRule="atLeast"/>
        <w:ind w:rightChars="35" w:right="98"/>
        <w:jc w:val="center"/>
        <w:textAlignment w:val="baseline"/>
        <w:rPr>
          <w:kern w:val="0"/>
        </w:rPr>
      </w:pPr>
      <w:r w:rsidRPr="00ED5F85">
        <w:rPr>
          <w:kern w:val="0"/>
        </w:rPr>
        <w:t>(</w:t>
      </w:r>
      <w:r w:rsidRPr="00ED5F85">
        <w:rPr>
          <w:kern w:val="0"/>
        </w:rPr>
        <w:t>負責人員職銜</w:t>
      </w:r>
      <w:r w:rsidRPr="00ED5F85">
        <w:rPr>
          <w:kern w:val="0"/>
        </w:rPr>
        <w:t>)</w:t>
      </w:r>
    </w:p>
    <w:p w:rsidR="00ED5F85" w:rsidRPr="00ED5F85" w:rsidRDefault="00ED5F85" w:rsidP="00ED5F85">
      <w:pPr>
        <w:adjustRightInd w:val="0"/>
        <w:snapToGrid w:val="0"/>
        <w:spacing w:line="360" w:lineRule="atLeast"/>
        <w:ind w:rightChars="35" w:right="98"/>
        <w:jc w:val="center"/>
        <w:textAlignment w:val="baseline"/>
        <w:rPr>
          <w:rFonts w:ascii="華康細明體" w:hAnsi="華康細明體"/>
          <w:spacing w:val="0"/>
          <w:kern w:val="0"/>
        </w:rPr>
      </w:pPr>
    </w:p>
    <w:p w:rsidR="00ED5F85" w:rsidRPr="00ED5F85" w:rsidRDefault="00ED5F85" w:rsidP="00ED5F85">
      <w:pPr>
        <w:tabs>
          <w:tab w:val="left" w:pos="6804"/>
        </w:tabs>
        <w:adjustRightInd w:val="0"/>
        <w:snapToGrid w:val="0"/>
        <w:spacing w:line="360" w:lineRule="atLeast"/>
        <w:ind w:rightChars="35" w:right="98"/>
        <w:jc w:val="center"/>
        <w:textAlignment w:val="baseline"/>
        <w:rPr>
          <w:rFonts w:eastAsia="標楷體"/>
          <w:spacing w:val="0"/>
          <w:kern w:val="0"/>
          <w:sz w:val="32"/>
          <w:szCs w:val="32"/>
          <w:u w:val="single"/>
        </w:rPr>
      </w:pPr>
      <w:r w:rsidRPr="00ED5F85">
        <w:rPr>
          <w:rFonts w:hint="eastAsia"/>
          <w:kern w:val="0"/>
          <w:u w:val="single"/>
        </w:rPr>
        <w:t>         </w:t>
      </w:r>
      <w:r w:rsidRPr="00ED5F85">
        <w:rPr>
          <w:kern w:val="0"/>
          <w:u w:val="single"/>
        </w:rPr>
        <w:t>  </w:t>
      </w:r>
      <w:r w:rsidRPr="00ED5F85">
        <w:rPr>
          <w:rFonts w:hint="eastAsia"/>
          <w:kern w:val="0"/>
          <w:u w:val="single"/>
        </w:rPr>
        <w:t>  </w:t>
      </w:r>
      <w:r w:rsidRPr="00ED5F85">
        <w:rPr>
          <w:rFonts w:hint="eastAsia"/>
          <w:kern w:val="0"/>
          <w:u w:val="single"/>
        </w:rPr>
        <w:t>大埔</w:t>
      </w:r>
      <w:r w:rsidRPr="00ED5F85">
        <w:rPr>
          <w:kern w:val="0"/>
          <w:u w:val="single"/>
        </w:rPr>
        <w:t>民政事務處</w:t>
      </w:r>
      <w:r w:rsidRPr="00ED5F85">
        <w:rPr>
          <w:rFonts w:hint="eastAsia"/>
          <w:kern w:val="0"/>
          <w:u w:val="single"/>
        </w:rPr>
        <w:t>         </w:t>
      </w:r>
      <w:r w:rsidRPr="00ED5F85">
        <w:rPr>
          <w:kern w:val="0"/>
          <w:u w:val="single"/>
        </w:rPr>
        <w:t>  </w:t>
      </w:r>
      <w:r w:rsidRPr="00ED5F85">
        <w:rPr>
          <w:rFonts w:hint="eastAsia"/>
          <w:kern w:val="0"/>
          <w:u w:val="single"/>
        </w:rPr>
        <w:t>  </w:t>
      </w:r>
    </w:p>
    <w:p w:rsidR="00ED5F85" w:rsidRPr="00ED5F85" w:rsidRDefault="00ED5F85" w:rsidP="00ED5F85">
      <w:pPr>
        <w:adjustRightInd w:val="0"/>
        <w:snapToGrid w:val="0"/>
        <w:spacing w:line="360" w:lineRule="atLeast"/>
        <w:ind w:rightChars="35" w:right="98"/>
        <w:jc w:val="center"/>
        <w:textAlignment w:val="baseline"/>
        <w:rPr>
          <w:rFonts w:ascii="華康細明體" w:hAnsi="華康細明體"/>
          <w:spacing w:val="0"/>
          <w:kern w:val="0"/>
        </w:rPr>
      </w:pPr>
    </w:p>
    <w:p w:rsidR="00ED5F85" w:rsidRPr="00ED5F85" w:rsidRDefault="00ED5F85" w:rsidP="00ED5F85">
      <w:pPr>
        <w:adjustRightInd w:val="0"/>
        <w:snapToGrid w:val="0"/>
        <w:spacing w:line="360" w:lineRule="atLeast"/>
        <w:ind w:rightChars="35" w:right="98"/>
        <w:jc w:val="center"/>
        <w:textAlignment w:val="baseline"/>
        <w:rPr>
          <w:rFonts w:ascii="華康細明體" w:hAnsi="華康細明體"/>
          <w:spacing w:val="0"/>
          <w:kern w:val="0"/>
        </w:rPr>
      </w:pPr>
      <w:r w:rsidRPr="00ED5F85">
        <w:rPr>
          <w:rFonts w:hint="eastAsia"/>
          <w:kern w:val="0"/>
          <w:u w:val="single"/>
        </w:rPr>
        <w:t>              </w:t>
      </w:r>
      <w:r w:rsidRPr="00ED5F85">
        <w:rPr>
          <w:kern w:val="0"/>
          <w:u w:val="single"/>
        </w:rPr>
        <w:t>  </w:t>
      </w:r>
      <w:r w:rsidRPr="00ED5F85">
        <w:rPr>
          <w:rFonts w:hint="eastAsia"/>
          <w:kern w:val="0"/>
          <w:u w:val="single"/>
        </w:rPr>
        <w:t>  2</w:t>
      </w:r>
      <w:r w:rsidRPr="00ED5F85">
        <w:rPr>
          <w:kern w:val="0"/>
          <w:u w:val="single"/>
        </w:rPr>
        <w:t>654 1262</w:t>
      </w:r>
      <w:r w:rsidRPr="00ED5F85">
        <w:rPr>
          <w:rFonts w:hint="eastAsia"/>
          <w:kern w:val="0"/>
          <w:u w:val="single"/>
        </w:rPr>
        <w:t>              </w:t>
      </w:r>
      <w:r w:rsidRPr="00ED5F85">
        <w:rPr>
          <w:kern w:val="0"/>
          <w:u w:val="single"/>
        </w:rPr>
        <w:t> </w:t>
      </w:r>
      <w:r w:rsidRPr="00ED5F85">
        <w:rPr>
          <w:rFonts w:hint="eastAsia"/>
          <w:kern w:val="0"/>
          <w:u w:val="single"/>
        </w:rPr>
        <w:t> </w:t>
      </w:r>
      <w:r w:rsidRPr="00ED5F85">
        <w:rPr>
          <w:kern w:val="0"/>
          <w:u w:val="single"/>
        </w:rPr>
        <w:t> </w:t>
      </w:r>
      <w:r w:rsidRPr="00ED5F85">
        <w:rPr>
          <w:rFonts w:hint="eastAsia"/>
          <w:kern w:val="0"/>
          <w:u w:val="single"/>
        </w:rPr>
        <w:t> </w:t>
      </w:r>
    </w:p>
    <w:p w:rsidR="00ED5F85" w:rsidRPr="00ED5F85" w:rsidRDefault="00ED5F85" w:rsidP="00ED5F85">
      <w:pPr>
        <w:adjustRightInd w:val="0"/>
        <w:snapToGrid w:val="0"/>
        <w:spacing w:line="360" w:lineRule="atLeast"/>
        <w:ind w:rightChars="35" w:right="98"/>
        <w:jc w:val="center"/>
        <w:textAlignment w:val="baseline"/>
        <w:rPr>
          <w:kern w:val="0"/>
        </w:rPr>
      </w:pPr>
      <w:r w:rsidRPr="00ED5F85">
        <w:rPr>
          <w:kern w:val="0"/>
        </w:rPr>
        <w:t>(</w:t>
      </w:r>
      <w:r w:rsidRPr="00ED5F85">
        <w:rPr>
          <w:kern w:val="0"/>
        </w:rPr>
        <w:t>電話號碼</w:t>
      </w:r>
      <w:r w:rsidRPr="00ED5F85">
        <w:rPr>
          <w:kern w:val="0"/>
        </w:rPr>
        <w:t>)</w:t>
      </w:r>
    </w:p>
    <w:p w:rsidR="00E9109B" w:rsidRPr="008C7DE7" w:rsidRDefault="00E9109B" w:rsidP="00ED5F85">
      <w:pPr>
        <w:tabs>
          <w:tab w:val="left" w:pos="567"/>
          <w:tab w:val="left" w:pos="1134"/>
          <w:tab w:val="left" w:pos="1701"/>
        </w:tabs>
        <w:adjustRightInd w:val="0"/>
        <w:spacing w:line="400" w:lineRule="exact"/>
        <w:ind w:left="567" w:hanging="567"/>
        <w:jc w:val="left"/>
        <w:textAlignment w:val="baseline"/>
      </w:pPr>
      <w:bookmarkStart w:id="0" w:name="_GoBack"/>
      <w:bookmarkEnd w:id="0"/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753" w:rsidRDefault="00441753">
      <w:r>
        <w:separator/>
      </w:r>
    </w:p>
  </w:endnote>
  <w:endnote w:type="continuationSeparator" w:id="0">
    <w:p w:rsidR="00441753" w:rsidRDefault="004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ED5F85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ED5F85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753" w:rsidRDefault="00441753">
      <w:r>
        <w:separator/>
      </w:r>
    </w:p>
  </w:footnote>
  <w:footnote w:type="continuationSeparator" w:id="0">
    <w:p w:rsidR="00441753" w:rsidRDefault="00441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1F5DE5"/>
    <w:rsid w:val="0020774D"/>
    <w:rsid w:val="00211638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020E6"/>
    <w:rsid w:val="00762AAE"/>
    <w:rsid w:val="00777C13"/>
    <w:rsid w:val="007909F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B4AAB"/>
    <w:rsid w:val="00BC487F"/>
    <w:rsid w:val="00C01B8A"/>
    <w:rsid w:val="00C24A29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05D0"/>
    <w:rsid w:val="00ED5DE0"/>
    <w:rsid w:val="00ED5F85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  <w:style w:type="table" w:styleId="a8">
    <w:name w:val="Table Grid"/>
    <w:basedOn w:val="a1"/>
    <w:uiPriority w:val="39"/>
    <w:rsid w:val="001F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9C79-9E07-4575-A2B6-9D02CE34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Windows 使用者</cp:lastModifiedBy>
  <cp:revision>3</cp:revision>
  <cp:lastPrinted>2024-03-21T08:08:00Z</cp:lastPrinted>
  <dcterms:created xsi:type="dcterms:W3CDTF">2024-03-25T01:57:00Z</dcterms:created>
  <dcterms:modified xsi:type="dcterms:W3CDTF">2024-03-26T08:55:00Z</dcterms:modified>
</cp:coreProperties>
</file>