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0" w:rsidRPr="00A65130" w:rsidRDefault="00046557" w:rsidP="00A65130">
      <w:pPr>
        <w:wordWrap w:val="0"/>
        <w:spacing w:line="420" w:lineRule="exact"/>
        <w:jc w:val="right"/>
        <w:rPr>
          <w:rFonts w:ascii="Times New Roman" w:eastAsia="華康中黑體" w:hAnsi="Times New Roman" w:cs="Times New Roman"/>
          <w:bCs/>
          <w:spacing w:val="20"/>
          <w:sz w:val="28"/>
          <w:szCs w:val="28"/>
          <w:u w:val="single"/>
          <w:lang w:val="en-US" w:eastAsia="zh-TW"/>
        </w:rPr>
      </w:pPr>
      <w:r w:rsidRPr="00A65130">
        <w:rPr>
          <w:rFonts w:ascii="Times New Roman" w:eastAsia="華康中黑體" w:hAnsi="Times New Roman" w:cs="Times New Roman" w:hint="eastAsia"/>
          <w:bCs/>
          <w:spacing w:val="20"/>
          <w:sz w:val="28"/>
          <w:szCs w:val="28"/>
          <w:lang w:val="en-US" w:eastAsia="zh-CN"/>
        </w:rPr>
        <w:t>附件</w:t>
      </w:r>
      <w:r w:rsidRPr="00A65130">
        <w:rPr>
          <w:rFonts w:ascii="Times New Roman" w:eastAsia="華康中黑體" w:hAnsi="Times New Roman" w:cs="Times New Roman"/>
          <w:bCs/>
          <w:spacing w:val="20"/>
          <w:sz w:val="28"/>
          <w:szCs w:val="28"/>
          <w:lang w:val="en-US" w:eastAsia="zh-CN"/>
        </w:rPr>
        <w:t>A</w:t>
      </w: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建议书</w:t>
      </w:r>
    </w:p>
    <w:p w:rsidR="00A65130" w:rsidRPr="00A65130" w:rsidRDefault="00046557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申请营办少数族裔人士支</w:t>
      </w:r>
      <w:r w:rsidRPr="00046557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援</w:t>
      </w: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服务中心</w:t>
      </w:r>
    </w:p>
    <w:p w:rsidR="00A65130" w:rsidRPr="00A65130" w:rsidRDefault="00A65130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/>
          <w:spacing w:val="20"/>
          <w:szCs w:val="24"/>
        </w:rPr>
        <w:t>(</w:t>
      </w:r>
      <w:r w:rsidR="00046557"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拟议地区</w:t>
      </w:r>
      <w:r w:rsidRPr="00A65130">
        <w:rPr>
          <w:rFonts w:ascii="Times New Roman" w:eastAsia="華康中黑體" w:hAnsi="Times New Roman" w:cs="Times New Roman"/>
          <w:spacing w:val="20"/>
          <w:szCs w:val="24"/>
        </w:rPr>
        <w:t>)</w:t>
      </w: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rPr>
          <w:rFonts w:ascii="Times New Roman" w:eastAsia="華康細明體" w:hAnsi="Times New Roman" w:cs="Times New Roman"/>
          <w:spacing w:val="20"/>
          <w:szCs w:val="24"/>
          <w:lang w:eastAsia="zh-TW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申请机构</w:t>
      </w:r>
      <w:r w:rsidR="00A65130"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：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  <w:lang w:eastAsia="zh-TW"/>
        </w:rPr>
        <w:t>[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申请机构名称</w:t>
      </w:r>
      <w:r w:rsidR="00A65130"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]</w:t>
      </w:r>
    </w:p>
    <w:p w:rsidR="00A65130" w:rsidRPr="00A65130" w:rsidRDefault="00046557" w:rsidP="00A65130">
      <w:pPr>
        <w:rPr>
          <w:rFonts w:ascii="Times New Roman" w:eastAsia="華康細明體" w:hAnsi="Times New Roman" w:cs="Times New Roman"/>
          <w:spacing w:val="20"/>
          <w:szCs w:val="24"/>
          <w:lang w:eastAsia="zh-TW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递交日期</w:t>
      </w:r>
      <w:r w:rsidR="00A65130"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：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  <w:lang w:eastAsia="zh-TW"/>
        </w:rPr>
        <w:t>[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递交建议书日期</w:t>
      </w:r>
      <w:r w:rsidR="00A65130"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TW"/>
        </w:rPr>
        <w:t>]</w:t>
      </w:r>
    </w:p>
    <w:p w:rsidR="00A65130" w:rsidRPr="00A65130" w:rsidRDefault="00A65130" w:rsidP="00A65130">
      <w:pPr>
        <w:rPr>
          <w:rFonts w:ascii="Times New Roman" w:eastAsia="華康細明體" w:hAnsi="Times New Roman" w:cs="Times New Roman"/>
          <w:color w:val="FF0000"/>
          <w:spacing w:val="20"/>
          <w:szCs w:val="24"/>
        </w:rPr>
      </w:pPr>
    </w:p>
    <w:p w:rsidR="00A65130" w:rsidRPr="00A65130" w:rsidRDefault="00A65130" w:rsidP="00A65130">
      <w:pPr>
        <w:rPr>
          <w:rFonts w:ascii="Times New Roman" w:eastAsia="華康細明體" w:hAnsi="Times New Roman" w:cs="Times New Roman"/>
          <w:color w:val="FF0000"/>
          <w:spacing w:val="20"/>
          <w:szCs w:val="24"/>
        </w:rPr>
      </w:pPr>
      <w:r w:rsidRPr="00A65130">
        <w:rPr>
          <w:rFonts w:ascii="Times New Roman" w:eastAsia="華康細明體" w:hAnsi="Times New Roman" w:cs="Times New Roman"/>
          <w:color w:val="FF0000"/>
          <w:spacing w:val="20"/>
          <w:szCs w:val="24"/>
        </w:rPr>
        <w:br w:type="page"/>
      </w:r>
    </w:p>
    <w:p w:rsidR="00A65130" w:rsidRPr="00A65130" w:rsidRDefault="00046557" w:rsidP="00A65130">
      <w:pPr>
        <w:jc w:val="center"/>
        <w:rPr>
          <w:rFonts w:ascii="Times New Roman" w:eastAsia="華康中黑體" w:hAnsi="Times New Roman" w:cs="Times New Roman"/>
          <w:b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b/>
          <w:spacing w:val="20"/>
          <w:szCs w:val="24"/>
          <w:lang w:eastAsia="zh-CN"/>
        </w:rPr>
        <w:lastRenderedPageBreak/>
        <w:t>目录</w:t>
      </w:r>
    </w:p>
    <w:p w:rsidR="00A65130" w:rsidRPr="00A65130" w:rsidRDefault="00A65130" w:rsidP="00A65130">
      <w:pPr>
        <w:jc w:val="center"/>
        <w:rPr>
          <w:rFonts w:ascii="Times New Roman" w:eastAsia="華康細明體" w:hAnsi="Times New Roman" w:cs="Times New Roman"/>
          <w:spacing w:val="20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617"/>
        <w:gridCol w:w="1013"/>
      </w:tblGrid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1071" w:type="dxa"/>
          </w:tcPr>
          <w:p w:rsidR="00A65130" w:rsidRPr="00A65130" w:rsidRDefault="00046557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页次</w:t>
            </w: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</w:t>
            </w: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申请机构的资料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1.1  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1.2  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1.3  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</w:t>
            </w: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服务设计及运作情况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2.3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</w:t>
            </w: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服务质素管理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3.3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</w:t>
            </w: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人力资源管理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4.3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</w:t>
            </w: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推行计划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5.3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</w:t>
            </w: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有关的营办经验及统筹策略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6.3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</w:t>
            </w: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财务管理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7.1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7.2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7.3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ab/>
              <w:t>…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</w:pP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TW"/>
              </w:rPr>
              <w:t>……….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  <w:tr w:rsidR="00A65130" w:rsidRPr="00A65130" w:rsidTr="005F4F90">
        <w:tc>
          <w:tcPr>
            <w:tcW w:w="704" w:type="dxa"/>
          </w:tcPr>
          <w:p w:rsidR="00A65130" w:rsidRPr="00A65130" w:rsidRDefault="00A65130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  <w:tc>
          <w:tcPr>
            <w:tcW w:w="7234" w:type="dxa"/>
          </w:tcPr>
          <w:p w:rsidR="00A65130" w:rsidRPr="00A65130" w:rsidRDefault="00046557" w:rsidP="00A65130">
            <w:pPr>
              <w:jc w:val="both"/>
              <w:rPr>
                <w:rFonts w:ascii="Times New Roman" w:eastAsia="華康細明體" w:hAnsi="Times New Roman"/>
                <w:spacing w:val="20"/>
                <w:szCs w:val="24"/>
              </w:rPr>
            </w:pP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附件及附录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CN"/>
              </w:rPr>
              <w:t>(</w:t>
            </w:r>
            <w:r w:rsidRPr="00A65130">
              <w:rPr>
                <w:rFonts w:ascii="Times New Roman" w:eastAsia="華康細明體" w:hAnsi="Times New Roman" w:hint="eastAsia"/>
                <w:spacing w:val="20"/>
                <w:szCs w:val="24"/>
                <w:lang w:eastAsia="zh-CN"/>
              </w:rPr>
              <w:t>如有</w:t>
            </w:r>
            <w:r w:rsidRPr="00A65130">
              <w:rPr>
                <w:rFonts w:ascii="Times New Roman" w:eastAsia="華康細明體" w:hAnsi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1071" w:type="dxa"/>
          </w:tcPr>
          <w:p w:rsidR="00A65130" w:rsidRPr="00A65130" w:rsidRDefault="00A65130" w:rsidP="00A65130">
            <w:pPr>
              <w:jc w:val="right"/>
              <w:rPr>
                <w:rFonts w:ascii="Times New Roman" w:eastAsia="華康細明體" w:hAnsi="Times New Roman"/>
                <w:spacing w:val="20"/>
                <w:szCs w:val="24"/>
              </w:rPr>
            </w:pPr>
          </w:p>
        </w:tc>
      </w:tr>
    </w:tbl>
    <w:p w:rsidR="00A65130" w:rsidRPr="00A65130" w:rsidRDefault="00A65130" w:rsidP="00A65130">
      <w:pPr>
        <w:widowControl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/>
          <w:spacing w:val="20"/>
          <w:szCs w:val="24"/>
        </w:rPr>
        <w:br w:type="page"/>
      </w:r>
    </w:p>
    <w:p w:rsidR="00A65130" w:rsidRPr="00A65130" w:rsidRDefault="00046557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lastRenderedPageBreak/>
        <w:t>申请机构的资料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须包括但不限于下述各项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机构背景资料和证明其符合申请资格的文件</w:t>
      </w:r>
      <w:r w:rsidR="00A65130" w:rsidRPr="00A65130">
        <w:rPr>
          <w:rFonts w:ascii="Times New Roman" w:eastAsia="華康細明體" w:hAnsi="Times New Roman" w:cs="Times New Roman" w:hint="eastAsia"/>
          <w:spacing w:val="20"/>
          <w:szCs w:val="24"/>
        </w:rPr>
        <w:t>：</w:t>
      </w:r>
    </w:p>
    <w:p w:rsidR="00A65130" w:rsidRPr="00A65130" w:rsidRDefault="00046557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机构的正式中英文全名</w:t>
      </w:r>
    </w:p>
    <w:p w:rsidR="00A65130" w:rsidRPr="00A65130" w:rsidRDefault="00046557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机构的注册详情</w:t>
      </w:r>
    </w:p>
    <w:p w:rsidR="00A65130" w:rsidRPr="00A65130" w:rsidRDefault="00046557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主要管理人员姓名</w:t>
      </w:r>
    </w:p>
    <w:p w:rsidR="00A65130" w:rsidRPr="00A65130" w:rsidRDefault="00046557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机构的获授权联络人及联络方法</w:t>
      </w:r>
    </w:p>
    <w:p w:rsidR="00A65130" w:rsidRPr="00A65130" w:rsidRDefault="00046557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机构的正式地址、电话号码、传真号码及网址</w:t>
      </w:r>
    </w:p>
    <w:p w:rsidR="00A65130" w:rsidRPr="00A65130" w:rsidRDefault="00046557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机构目前提供的服务</w:t>
      </w:r>
    </w:p>
    <w:p w:rsidR="00A65130" w:rsidRPr="00A65130" w:rsidRDefault="00046557" w:rsidP="00406EDA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现行员工架构及</w:t>
      </w:r>
      <w:r w:rsidR="00406EDA" w:rsidRPr="00406EDA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组织图</w:t>
      </w:r>
    </w:p>
    <w:p w:rsidR="00A65130" w:rsidRPr="00A65130" w:rsidRDefault="00046557" w:rsidP="00A65130">
      <w:pPr>
        <w:numPr>
          <w:ilvl w:val="1"/>
          <w:numId w:val="4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最近期经审计的财务报表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申请机构在为本港少数族裔人士提供与指定服务类似的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服务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和计划方面的往绩及经验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</w:rPr>
        <w:t></w:t>
      </w:r>
      <w:r w:rsidRPr="00A65130">
        <w:rPr>
          <w:rFonts w:ascii="Times New Roman" w:eastAsia="華康細明體" w:hAnsi="Times New Roman" w:cs="Times New Roman"/>
          <w:spacing w:val="20"/>
          <w:szCs w:val="24"/>
        </w:rPr>
        <w:tab/>
      </w:r>
    </w:p>
    <w:p w:rsidR="00A65130" w:rsidRPr="00A65130" w:rsidRDefault="00046557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服务设计及运作情况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须包括但不限于下列各项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整体策略及如何达到计划的目的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拟议选址和选址理由，包括该选址是否符合所有适用法例和规例的规定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业主出租处所予申请机构的意向书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划为中心范围并只限供中心营运之用的拟议面积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并非中心的指定处所但会用于提供任何服务的其他地点一览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表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拟选用处所的照片、说明草图／简图及平面草图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所需设备、装置及家具的种类和数量的说明</w:t>
      </w:r>
    </w:p>
    <w:p w:rsidR="00A65130" w:rsidRPr="00A65130" w:rsidRDefault="00046557" w:rsidP="00386967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与其他机构／单位</w:t>
      </w:r>
      <w:r w:rsidR="00386967" w:rsidRPr="00386967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共用</w:t>
      </w:r>
      <w:bookmarkStart w:id="0" w:name="_GoBack"/>
      <w:bookmarkEnd w:id="0"/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的处所／设施／设备的详情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如适用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中心开放时间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提供服务的详细建议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中文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广东话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及英文课程</w:t>
      </w:r>
    </w:p>
    <w:p w:rsidR="00A65130" w:rsidRPr="00A65130" w:rsidRDefault="00046557" w:rsidP="00046557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启导及认识</w:t>
      </w:r>
      <w:r w:rsidRPr="00046557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社区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活动计划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融入</w:t>
      </w:r>
      <w:r w:rsidRPr="00046557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社区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活动计划和服务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少数族裔青少年专设计划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课后辅导班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少数族裔关爱队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具创意的计划／增值计划</w:t>
      </w:r>
      <w:r w:rsidRPr="00A65130" w:rsidDel="0030589E">
        <w:rPr>
          <w:rFonts w:ascii="Times New Roman" w:eastAsia="華康細明體" w:hAnsi="Times New Roman" w:cs="Times New Roman"/>
          <w:spacing w:val="20"/>
          <w:szCs w:val="24"/>
          <w:lang w:eastAsia="zh-CN"/>
        </w:rPr>
        <w:t xml:space="preserve"> 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推行时间表</w:t>
      </w:r>
    </w:p>
    <w:p w:rsidR="00A65130" w:rsidRPr="00A65130" w:rsidRDefault="00A65130" w:rsidP="00A65130">
      <w:pPr>
        <w:ind w:left="960"/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提高服务使用者出席率和避免浪费资源的措施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推广宣传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主动接触和吸引需要服务的少数族裔人士的措施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中心网站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社交媒体平台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会员制度的详情</w:t>
      </w:r>
    </w:p>
    <w:p w:rsidR="00A65130" w:rsidRPr="00A65130" w:rsidRDefault="00046557" w:rsidP="00046557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说明如何透过会员</w:t>
      </w: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库向会员发布</w:t>
      </w:r>
      <w:r w:rsidRPr="00046557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资讯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并与他们有效沟通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第一年及第二年的目标会员人数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服务质素管理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须包括但不限于下列各项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就所有服务填妥《计划说明书》</w:t>
      </w: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附件</w:t>
      </w:r>
      <w:r w:rsidRPr="00A65130">
        <w:rPr>
          <w:rFonts w:ascii="Times New Roman" w:eastAsia="華康中黑體" w:hAnsi="Times New Roman" w:cs="Times New Roman"/>
          <w:spacing w:val="20"/>
          <w:szCs w:val="24"/>
          <w:lang w:eastAsia="zh-CN"/>
        </w:rPr>
        <w:t>B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所载的服务量指标和服务成效指标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监察机制及评核措施的详细说明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质素保证机制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包括投诉处理程序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的详细说明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危机管理运作指引及应变计划的详请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人力资源管理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须包括但不限于下列各项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员工架构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人手编制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所有员工的职责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少数族裔员工数目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招聘员工所要求的资历和有关工作经验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员工遴选、入职训练、培训和发展计划的详细说明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推行计划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须包括但不限于下列各项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为配合拟开展服务日期而制定的详细工作计划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开设中心的时间表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筹备工作、装修中心处所、采购家具及设备等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员工招聘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服务宣传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lastRenderedPageBreak/>
        <w:t>设立中心网站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建立会员制度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设计会员申请表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、参加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计划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报名表、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意见表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、内部表格等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后备或应变措施／计划的详细说明，以确保即使就拟开展服务日期推行工作或服务的进度有所延误，中心仍可如期提供服务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3"/>
        </w:numPr>
        <w:jc w:val="both"/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有关的营办经验及统筹策略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须包括但不限于下列各项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  <w:lang w:eastAsia="zh-TW"/>
        </w:rPr>
      </w:pPr>
    </w:p>
    <w:p w:rsidR="00A65130" w:rsidRPr="00A65130" w:rsidRDefault="00046557" w:rsidP="00046557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为本港少数族裔人士提供服务的经验、表现、承担及组织支</w:t>
      </w:r>
      <w:r w:rsidRPr="00046557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援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现有的少数族裔人士服务网络，以及如何与其他团体合作维持现有网络和建立新网络的详细说明，以助提供服务并作出合适的服务转介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3"/>
        </w:numPr>
        <w:rPr>
          <w:rFonts w:ascii="Times New Roman" w:eastAsia="華康中黑體" w:hAnsi="Times New Roman" w:cs="Times New Roman"/>
          <w:spacing w:val="20"/>
          <w:szCs w:val="24"/>
        </w:rPr>
      </w:pPr>
      <w:r w:rsidRPr="00A65130">
        <w:rPr>
          <w:rFonts w:ascii="Times New Roman" w:eastAsia="華康中黑體" w:hAnsi="Times New Roman" w:cs="Times New Roman" w:hint="eastAsia"/>
          <w:spacing w:val="20"/>
          <w:szCs w:val="24"/>
          <w:lang w:eastAsia="zh-CN"/>
        </w:rPr>
        <w:t>财务管理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046557">
        <w:rPr>
          <w:rFonts w:ascii="Times New Roman" w:eastAsia="華康細明體" w:hAnsi="Times New Roman" w:cs="Times New Roman" w:hint="eastAsia"/>
          <w:spacing w:val="20"/>
          <w:szCs w:val="24"/>
        </w:rPr>
        <w:t>资料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须包括但不限于下列各项</w:t>
      </w:r>
      <w:r w:rsidR="00A65130" w:rsidRPr="00A65130">
        <w:rPr>
          <w:rFonts w:ascii="Times New Roman" w:eastAsia="華康細明體" w:hAnsi="Times New Roman" w:cs="Times New Roman"/>
          <w:spacing w:val="20"/>
          <w:szCs w:val="24"/>
        </w:rPr>
        <w:t xml:space="preserve"> - 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用于开设中心的筹备工作的一笔过预算，例如翻新和装修工程、购置家具及设备、安装设施、开发中心网站等的详细分项数字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每年运作开支的预算，例如员工薪酬、办公室运作成本、服务推行成本、宣传推广费用等的详细分项数字</w:t>
      </w:r>
      <w:r w:rsidR="00A65130" w:rsidRPr="00A65130" w:rsidDel="000510B1">
        <w:rPr>
          <w:rFonts w:ascii="Times New Roman" w:eastAsia="華康細明體" w:hAnsi="Times New Roman" w:cs="Times New Roman"/>
          <w:spacing w:val="20"/>
          <w:szCs w:val="24"/>
        </w:rPr>
        <w:t xml:space="preserve"> 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现金流量预测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申请机构的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val="en-US" w:eastAsia="zh-CN"/>
        </w:rPr>
        <w:t>出资额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财务管理及监管机制的说明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关于服务是否免费提供，以及收费服务的收费建议和豁免收费机制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的说明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所涉及的服务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建议收费金额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豁免收费机制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</w:p>
    <w:p w:rsidR="00A65130" w:rsidRPr="00A65130" w:rsidRDefault="00046557" w:rsidP="00A65130">
      <w:pPr>
        <w:numPr>
          <w:ilvl w:val="0"/>
          <w:numId w:val="1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收取按金和退款机制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(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如有</w:t>
      </w:r>
      <w:r w:rsidRPr="00A65130">
        <w:rPr>
          <w:rFonts w:ascii="Times New Roman" w:eastAsia="華康細明體" w:hAnsi="Times New Roman" w:cs="Times New Roman"/>
          <w:spacing w:val="20"/>
          <w:szCs w:val="24"/>
          <w:lang w:eastAsia="zh-CN"/>
        </w:rPr>
        <w:t>)</w:t>
      </w: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的说明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所涉及的服务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建议的按金款额</w:t>
      </w:r>
    </w:p>
    <w:p w:rsidR="00A65130" w:rsidRPr="00A65130" w:rsidRDefault="00046557" w:rsidP="00A65130">
      <w:pPr>
        <w:numPr>
          <w:ilvl w:val="1"/>
          <w:numId w:val="2"/>
        </w:numPr>
        <w:jc w:val="both"/>
        <w:rPr>
          <w:rFonts w:ascii="Times New Roman" w:eastAsia="華康細明體" w:hAnsi="Times New Roman" w:cs="Times New Roman"/>
          <w:spacing w:val="20"/>
          <w:szCs w:val="24"/>
        </w:rPr>
      </w:pPr>
      <w:r w:rsidRPr="00A65130">
        <w:rPr>
          <w:rFonts w:ascii="Times New Roman" w:eastAsia="華康細明體" w:hAnsi="Times New Roman" w:cs="Times New Roman" w:hint="eastAsia"/>
          <w:spacing w:val="20"/>
          <w:szCs w:val="24"/>
          <w:lang w:eastAsia="zh-CN"/>
        </w:rPr>
        <w:t>退款准则</w:t>
      </w:r>
    </w:p>
    <w:p w:rsidR="00A65130" w:rsidRPr="00A65130" w:rsidRDefault="00A65130" w:rsidP="00A65130">
      <w:pPr>
        <w:jc w:val="both"/>
        <w:rPr>
          <w:rFonts w:ascii="Times New Roman" w:eastAsia="華康細明體" w:hAnsi="Times New Roman" w:cs="Times New Roman"/>
          <w:spacing w:val="20"/>
          <w:szCs w:val="24"/>
        </w:rPr>
      </w:pPr>
    </w:p>
    <w:p w:rsidR="00805030" w:rsidRDefault="00805030"/>
    <w:sectPr w:rsidR="00805030" w:rsidSect="00A65130">
      <w:footerReference w:type="default" r:id="rId8"/>
      <w:pgSz w:w="11906" w:h="16838"/>
      <w:pgMar w:top="993" w:right="1800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58" w:rsidRDefault="00124658" w:rsidP="00A65130">
      <w:r>
        <w:separator/>
      </w:r>
    </w:p>
  </w:endnote>
  <w:endnote w:type="continuationSeparator" w:id="0">
    <w:p w:rsidR="00124658" w:rsidRDefault="00124658" w:rsidP="00A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369705"/>
      <w:docPartObj>
        <w:docPartGallery w:val="Page Numbers (Bottom of Page)"/>
        <w:docPartUnique/>
      </w:docPartObj>
    </w:sdtPr>
    <w:sdtEndPr/>
    <w:sdtContent>
      <w:p w:rsidR="00A65130" w:rsidRDefault="00A65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67" w:rsidRPr="00386967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:rsidR="00A65130" w:rsidRDefault="00A651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58" w:rsidRDefault="00124658" w:rsidP="00A65130">
      <w:r>
        <w:separator/>
      </w:r>
    </w:p>
  </w:footnote>
  <w:footnote w:type="continuationSeparator" w:id="0">
    <w:p w:rsidR="00124658" w:rsidRDefault="00124658" w:rsidP="00A6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E7D"/>
    <w:multiLevelType w:val="hybridMultilevel"/>
    <w:tmpl w:val="E7F43396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7BF83812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4031C4"/>
    <w:multiLevelType w:val="hybridMultilevel"/>
    <w:tmpl w:val="998C309E"/>
    <w:lvl w:ilvl="0" w:tplc="EA462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83413"/>
    <w:multiLevelType w:val="hybridMultilevel"/>
    <w:tmpl w:val="F38ABDB4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CB"/>
    <w:multiLevelType w:val="hybridMultilevel"/>
    <w:tmpl w:val="CB7AADEC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A336D5C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HK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0"/>
    <w:rsid w:val="00046557"/>
    <w:rsid w:val="00124658"/>
    <w:rsid w:val="00386967"/>
    <w:rsid w:val="00406EDA"/>
    <w:rsid w:val="0064497D"/>
    <w:rsid w:val="00805030"/>
    <w:rsid w:val="00884D2B"/>
    <w:rsid w:val="00A65130"/>
    <w:rsid w:val="00F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3AA16-17E0-4667-92C7-F6DE34C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HK"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6513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5130"/>
    <w:rPr>
      <w:sz w:val="20"/>
      <w:szCs w:val="20"/>
      <w:lang w:val="en-HK" w:eastAsia="zh-HK"/>
    </w:rPr>
  </w:style>
  <w:style w:type="paragraph" w:styleId="a6">
    <w:name w:val="footer"/>
    <w:basedOn w:val="a"/>
    <w:link w:val="a7"/>
    <w:uiPriority w:val="99"/>
    <w:unhideWhenUsed/>
    <w:rsid w:val="00A65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5130"/>
    <w:rPr>
      <w:sz w:val="20"/>
      <w:szCs w:val="20"/>
      <w:lang w:val="en-HK"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6A56-6DCD-41F8-8CE0-01DDC045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276</Words>
  <Characters>1576</Characters>
  <Application>Microsoft Office Word</Application>
  <DocSecurity>0</DocSecurity>
  <Lines>13</Lines>
  <Paragraphs>3</Paragraphs>
  <ScaleCrop>false</ScaleCrop>
  <Company>HAD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HADUSER</dc:creator>
  <cp:keywords/>
  <dc:description/>
  <cp:lastModifiedBy>had user</cp:lastModifiedBy>
  <cp:revision>4</cp:revision>
  <dcterms:created xsi:type="dcterms:W3CDTF">2024-02-19T07:52:00Z</dcterms:created>
  <dcterms:modified xsi:type="dcterms:W3CDTF">2024-02-19T10:41:00Z</dcterms:modified>
</cp:coreProperties>
</file>