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0" w:rsidRPr="00A65130" w:rsidRDefault="00A65130" w:rsidP="00A65130">
      <w:pPr>
        <w:wordWrap w:val="0"/>
        <w:spacing w:line="420" w:lineRule="exact"/>
        <w:jc w:val="right"/>
        <w:rPr>
          <w:rFonts w:ascii="Times New Roman" w:eastAsia="華康中黑體" w:hAnsi="Times New Roman" w:cs="Times New Roman"/>
          <w:bCs/>
          <w:spacing w:val="20"/>
          <w:sz w:val="28"/>
          <w:szCs w:val="28"/>
          <w:u w:val="single"/>
          <w:lang w:val="en-US" w:eastAsia="zh-TW"/>
        </w:rPr>
      </w:pPr>
      <w:r w:rsidRPr="00A65130">
        <w:rPr>
          <w:rFonts w:ascii="Times New Roman" w:eastAsia="華康中黑體" w:hAnsi="Times New Roman" w:cs="Times New Roman" w:hint="eastAsia"/>
          <w:bCs/>
          <w:spacing w:val="20"/>
          <w:sz w:val="28"/>
          <w:szCs w:val="28"/>
          <w:lang w:val="en-US" w:eastAsia="zh-TW"/>
        </w:rPr>
        <w:t>附件</w:t>
      </w:r>
      <w:r w:rsidRPr="00A65130">
        <w:rPr>
          <w:rFonts w:ascii="Times New Roman" w:eastAsia="華康中黑體" w:hAnsi="Times New Roman" w:cs="Times New Roman"/>
          <w:bCs/>
          <w:spacing w:val="20"/>
          <w:sz w:val="28"/>
          <w:szCs w:val="28"/>
          <w:lang w:val="en-US" w:eastAsia="zh-TW"/>
        </w:rPr>
        <w:t>A</w:t>
      </w: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建議書</w:t>
      </w:r>
    </w:p>
    <w:p w:rsidR="00A65130" w:rsidRPr="00A65130" w:rsidRDefault="00A65130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  <w:proofErr w:type="gramStart"/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申請營辦少數</w:t>
      </w:r>
      <w:proofErr w:type="gramEnd"/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族裔人士支援服務中心</w:t>
      </w:r>
    </w:p>
    <w:p w:rsidR="00A65130" w:rsidRPr="00A65130" w:rsidRDefault="00A65130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擬議地區</w:t>
      </w:r>
      <w:r w:rsidRPr="00A65130">
        <w:rPr>
          <w:rFonts w:ascii="Times New Roman" w:eastAsia="華康中黑體" w:hAnsi="Times New Roman" w:cs="Times New Roman"/>
          <w:spacing w:val="20"/>
          <w:szCs w:val="24"/>
        </w:rPr>
        <w:t>)</w:t>
      </w: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rPr>
          <w:rFonts w:ascii="Times New Roman" w:eastAsia="華康細明體" w:hAnsi="Times New Roman" w:cs="Times New Roman"/>
          <w:spacing w:val="20"/>
          <w:szCs w:val="24"/>
          <w:lang w:eastAsia="zh-TW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申請機構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：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TW"/>
        </w:rPr>
        <w:t>[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申請機構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名稱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]</w:t>
      </w:r>
    </w:p>
    <w:p w:rsidR="00A65130" w:rsidRPr="00A65130" w:rsidRDefault="00A65130" w:rsidP="00A65130">
      <w:pPr>
        <w:rPr>
          <w:rFonts w:ascii="Times New Roman" w:eastAsia="華康細明體" w:hAnsi="Times New Roman" w:cs="Times New Roman"/>
          <w:spacing w:val="20"/>
          <w:szCs w:val="24"/>
          <w:lang w:eastAsia="zh-TW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遞交日期：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TW"/>
        </w:rPr>
        <w:t>[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遞交建議書日期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]</w:t>
      </w:r>
    </w:p>
    <w:p w:rsidR="00A65130" w:rsidRPr="00A65130" w:rsidRDefault="00A65130" w:rsidP="00A65130">
      <w:pPr>
        <w:rPr>
          <w:rFonts w:ascii="Times New Roman" w:eastAsia="華康細明體" w:hAnsi="Times New Roman" w:cs="Times New Roman"/>
          <w:color w:val="FF0000"/>
          <w:spacing w:val="20"/>
          <w:szCs w:val="24"/>
        </w:rPr>
      </w:pPr>
    </w:p>
    <w:p w:rsidR="00A65130" w:rsidRPr="00A65130" w:rsidRDefault="00A65130" w:rsidP="00A65130">
      <w:pPr>
        <w:rPr>
          <w:rFonts w:ascii="Times New Roman" w:eastAsia="華康細明體" w:hAnsi="Times New Roman" w:cs="Times New Roman"/>
          <w:color w:val="FF0000"/>
          <w:spacing w:val="20"/>
          <w:szCs w:val="24"/>
        </w:rPr>
      </w:pPr>
      <w:r w:rsidRPr="00A65130">
        <w:rPr>
          <w:rFonts w:ascii="Times New Roman" w:eastAsia="華康細明體" w:hAnsi="Times New Roman" w:cs="Times New Roman"/>
          <w:color w:val="FF0000"/>
          <w:spacing w:val="20"/>
          <w:szCs w:val="24"/>
        </w:rPr>
        <w:br w:type="page"/>
      </w:r>
    </w:p>
    <w:p w:rsidR="00A65130" w:rsidRPr="00A65130" w:rsidRDefault="00A65130" w:rsidP="00A65130">
      <w:pPr>
        <w:jc w:val="center"/>
        <w:rPr>
          <w:rFonts w:ascii="Times New Roman" w:eastAsia="華康中黑體" w:hAnsi="Times New Roman" w:cs="Times New Roman"/>
          <w:b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b/>
          <w:spacing w:val="20"/>
          <w:szCs w:val="24"/>
          <w:lang w:eastAsia="zh-TW"/>
        </w:rPr>
        <w:lastRenderedPageBreak/>
        <w:t>目錄</w:t>
      </w: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617"/>
        <w:gridCol w:w="1013"/>
      </w:tblGrid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CN"/>
              </w:rPr>
              <w:t>頁次</w:t>
            </w: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</w:t>
            </w: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</w:rPr>
              <w:t>申請機構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CN"/>
              </w:rPr>
              <w:t>的資料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1.1  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1.2  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1.3  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</w:t>
            </w: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服務設計及運作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CN"/>
              </w:rPr>
              <w:t>情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況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</w:t>
            </w: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服務質素管理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</w:t>
            </w: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人力資源管理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</w:t>
            </w: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推行計劃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</w:t>
            </w: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有關</w:t>
            </w:r>
            <w:proofErr w:type="gramStart"/>
            <w:r w:rsidRPr="00A65130">
              <w:rPr>
                <w:rFonts w:ascii="Times New Roman" w:eastAsia="華康細明體" w:hAnsi="Times New Roman"/>
                <w:spacing w:val="20"/>
                <w:szCs w:val="24"/>
              </w:rPr>
              <w:t>的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營辦經驗</w:t>
            </w:r>
            <w:proofErr w:type="gramEnd"/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及統籌策略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</w:t>
            </w: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財務管理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</w:rPr>
              <w:t>附件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CN"/>
              </w:rPr>
              <w:t>及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</w:rPr>
              <w:t>附錄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</w:rPr>
              <w:t>(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</w:rPr>
              <w:t>如有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</w:rPr>
              <w:t>)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</w:tbl>
    <w:p w:rsidR="00A65130" w:rsidRPr="00A65130" w:rsidRDefault="00A65130" w:rsidP="00A65130">
      <w:pPr>
        <w:widowControl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/>
          <w:spacing w:val="20"/>
          <w:szCs w:val="24"/>
        </w:rPr>
        <w:br w:type="page"/>
      </w:r>
    </w:p>
    <w:p w:rsidR="00A65130" w:rsidRPr="00A65130" w:rsidRDefault="00A65130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lastRenderedPageBreak/>
        <w:t>申請機構的資料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資料須包括但不限於下述各項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機構背景資料和證明其符合申請資格的文件：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機構的正式中英文全名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機構的註冊詳情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主要管理人員姓名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機構的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獲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授權聯絡人及聯絡方法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機構的正式地址、電話號碼、傳真號碼及網址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機構目前提供的服務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現行員工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架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構及組織圖</w:t>
      </w:r>
    </w:p>
    <w:p w:rsidR="00A65130" w:rsidRPr="00A65130" w:rsidRDefault="00A65130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最近期經審計的財務報表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申請機構在為本港少數族裔人士提供與指定服務類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似的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服務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和計劃方面的</w:t>
      </w:r>
      <w:proofErr w:type="gramStart"/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往績及</w:t>
      </w:r>
      <w:proofErr w:type="gramEnd"/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經驗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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ab/>
      </w:r>
    </w:p>
    <w:p w:rsidR="00A65130" w:rsidRPr="00A65130" w:rsidRDefault="00A65130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服務設計及運作情況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資料須包括但不限於下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列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各項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整體策略及如何達到計劃的目的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擬議選址和選址理由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，包括該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選址是否符合所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有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適用法例和規例的規定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業主出租處所予申請機構的意向書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)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劃為中心範圍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並只限供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中心營運之用的擬議面積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並非中心的指定處所但會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用於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提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供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任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何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服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的其他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地點一覽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表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擬選用處所的照片、說明草圖／簡圖及平面草圖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所需設備、裝置及家具的種類和數量的說明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與其他機構／單位共用的處所／設施／設備的詳情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如適用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中心開放時間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提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供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服務的詳細建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議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中文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TW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廣東話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TW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及英文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課程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啓導及認識社區活動計劃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融入社區活動計劃和服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務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少數族裔青少年專設計劃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課後輔導班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少數族裔關愛隊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具創意的計劃／增值計劃</w:t>
      </w:r>
      <w:r w:rsidRPr="00A65130" w:rsidDel="0030589E">
        <w:rPr>
          <w:rFonts w:ascii="Times New Roman" w:eastAsia="華康細明體" w:hAnsi="Times New Roman" w:cs="Times New Roman"/>
          <w:spacing w:val="20"/>
          <w:szCs w:val="24"/>
        </w:rPr>
        <w:t xml:space="preserve"> 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推行時間表</w:t>
      </w:r>
    </w:p>
    <w:p w:rsidR="00A65130" w:rsidRPr="00A65130" w:rsidRDefault="00A65130" w:rsidP="00A65130">
      <w:pPr>
        <w:ind w:left="960"/>
        <w:jc w:val="both"/>
        <w:rPr>
          <w:rFonts w:ascii="Times New Roman" w:eastAsia="華康細明體" w:hAnsi="Times New Roman" w:cs="Times New Roman"/>
          <w:spacing w:val="20"/>
          <w:szCs w:val="24"/>
        </w:rPr>
      </w:pPr>
      <w:bookmarkStart w:id="0" w:name="_GoBack"/>
      <w:bookmarkEnd w:id="0"/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提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高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服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使用者出席率和避免浪費資源的措施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推廣宣傳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主動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接觸和吸引需要服務的少數族裔人士的措施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中心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網站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社交媒體平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台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會員制度的詳情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説明如何透過會員資料庫向會員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發布資訊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並與他們有效溝通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第一年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及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第二年的目標會員人數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服務質素管理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資料須包括但不限於下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列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各項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就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所有服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填妥《計劃說明書》</w:t>
      </w: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附件</w:t>
      </w:r>
      <w:r w:rsidRPr="00A65130">
        <w:rPr>
          <w:rFonts w:ascii="Times New Roman" w:eastAsia="華康中黑體" w:hAnsi="Times New Roman" w:cs="Times New Roman"/>
          <w:spacing w:val="20"/>
          <w:szCs w:val="24"/>
        </w:rPr>
        <w:t>B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所載的服務量指標和服務成效指標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監察機制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及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評核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措施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的詳細說明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質素保證機制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包括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投訴處理程序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的詳細說明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危機管理運作指引及應變計劃的詳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請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人力資源管理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資料須包括但不限於下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列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各項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員工架構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人手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編制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所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有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員工的職責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少數族裔員工數目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招聘員工所要求的資歷和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有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關工作經驗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員工遴選、入職訓練、培訓和發展計劃的詳細說明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推行計劃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資料須包括但不限於下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列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各項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為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配合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擬開展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服務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日期而制定的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詳細工作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計劃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開設中心的時間表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籌備工作、裝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修中心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處所、採購家具及設備等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員工招聘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服務宣傳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lastRenderedPageBreak/>
        <w:t>設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立中心網站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建立會員制度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設計會員申請表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、參加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計劃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報名表、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意見表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、内部表格等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後備或應變措施／計劃的詳細說明，以確保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即使就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擬開展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服務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日期推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行工作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或服務的進度有所延誤，中心仍可如期提供服務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TW"/>
        </w:rPr>
        <w:t>有</w:t>
      </w: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關</w:t>
      </w:r>
      <w:proofErr w:type="gramStart"/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的營辦經驗</w:t>
      </w:r>
      <w:proofErr w:type="gramEnd"/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及統籌策略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資料須包括但不限於下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列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各項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  <w:lang w:eastAsia="zh-TW"/>
        </w:rPr>
      </w:pP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為本港少數族裔人士提供服務的經驗、表現、承擔及組織支援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現有的少數族裔人士服務網絡，以及如何與其他團體合作維持現有網絡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和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建立新網絡的詳細說明，以助提供服務並作出合適的服務轉</w:t>
      </w:r>
      <w:proofErr w:type="gramStart"/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介</w:t>
      </w:r>
      <w:proofErr w:type="gramEnd"/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3"/>
        </w:numPr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</w:rPr>
        <w:t>財務管理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資料須包括但不限於下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列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各項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用於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開設中心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籌備工作的一筆過預算，例如翻新和裝修工程、購置家具及設備、安裝設施、開發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中心網站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等的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詳細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分項數字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每年運作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開支的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預算，例如員工薪酬、辦公室運作成本、服務推行成本、宣傳推廣費用等的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詳細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分項數字</w:t>
      </w:r>
      <w:r w:rsidRPr="00A65130" w:rsidDel="000510B1">
        <w:rPr>
          <w:rFonts w:ascii="Times New Roman" w:eastAsia="華康細明體" w:hAnsi="Times New Roman" w:cs="Times New Roman"/>
          <w:spacing w:val="20"/>
          <w:szCs w:val="24"/>
        </w:rPr>
        <w:t xml:space="preserve"> 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現金流量預測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申請機構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出資額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財務管理及監管機制的說明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關於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服務是否免費提供，以及收費服務的收費建議和豁免收費機制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說明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所涉及的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服務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建議收費金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額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豁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免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收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費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機制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)</w:t>
      </w:r>
    </w:p>
    <w:p w:rsidR="00A65130" w:rsidRPr="00A65130" w:rsidRDefault="00A65130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收取按金和退款機制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的說明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所涉及的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服務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建議的按金款額</w:t>
      </w:r>
    </w:p>
    <w:p w:rsidR="00A65130" w:rsidRPr="00A65130" w:rsidRDefault="00A65130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退款準則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805030" w:rsidRDefault="00805030"/>
    <w:sectPr w:rsidR="00805030" w:rsidSect="00A65130">
      <w:footerReference w:type="default" r:id="rId7"/>
      <w:pgSz w:w="11906" w:h="16838"/>
      <w:pgMar w:top="993" w:right="1800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11" w:rsidRDefault="00F40B11" w:rsidP="00A65130">
      <w:r>
        <w:separator/>
      </w:r>
    </w:p>
  </w:endnote>
  <w:endnote w:type="continuationSeparator" w:id="0">
    <w:p w:rsidR="00F40B11" w:rsidRDefault="00F40B11" w:rsidP="00A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369705"/>
      <w:docPartObj>
        <w:docPartGallery w:val="Page Numbers (Bottom of Page)"/>
        <w:docPartUnique/>
      </w:docPartObj>
    </w:sdtPr>
    <w:sdtContent>
      <w:p w:rsidR="00A65130" w:rsidRDefault="00A65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5130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A65130" w:rsidRDefault="00A65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11" w:rsidRDefault="00F40B11" w:rsidP="00A65130">
      <w:r>
        <w:separator/>
      </w:r>
    </w:p>
  </w:footnote>
  <w:footnote w:type="continuationSeparator" w:id="0">
    <w:p w:rsidR="00F40B11" w:rsidRDefault="00F40B11" w:rsidP="00A6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E7D"/>
    <w:multiLevelType w:val="hybridMultilevel"/>
    <w:tmpl w:val="E7F43396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7BF83812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4031C4"/>
    <w:multiLevelType w:val="hybridMultilevel"/>
    <w:tmpl w:val="998C309E"/>
    <w:lvl w:ilvl="0" w:tplc="EA462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83413"/>
    <w:multiLevelType w:val="hybridMultilevel"/>
    <w:tmpl w:val="F38ABDB4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CB"/>
    <w:multiLevelType w:val="hybridMultilevel"/>
    <w:tmpl w:val="CB7AADEC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A336D5C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HK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0"/>
    <w:rsid w:val="00805030"/>
    <w:rsid w:val="00A65130"/>
    <w:rsid w:val="00F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3AA16-17E0-4667-92C7-F6DE34C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HK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6513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5130"/>
    <w:rPr>
      <w:sz w:val="20"/>
      <w:szCs w:val="20"/>
      <w:lang w:val="en-HK" w:eastAsia="zh-HK"/>
    </w:rPr>
  </w:style>
  <w:style w:type="paragraph" w:styleId="a6">
    <w:name w:val="footer"/>
    <w:basedOn w:val="a"/>
    <w:link w:val="a7"/>
    <w:uiPriority w:val="99"/>
    <w:unhideWhenUsed/>
    <w:rsid w:val="00A65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5130"/>
    <w:rPr>
      <w:sz w:val="20"/>
      <w:szCs w:val="20"/>
      <w:lang w:val="en-HK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276</Words>
  <Characters>1576</Characters>
  <Application>Microsoft Office Word</Application>
  <DocSecurity>0</DocSecurity>
  <Lines>13</Lines>
  <Paragraphs>3</Paragraphs>
  <ScaleCrop>false</ScaleCrop>
  <Company>HAD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HADUSER</dc:creator>
  <cp:keywords/>
  <dc:description/>
  <cp:lastModifiedBy>HADUSER</cp:lastModifiedBy>
  <cp:revision>1</cp:revision>
  <dcterms:created xsi:type="dcterms:W3CDTF">2024-02-19T07:52:00Z</dcterms:created>
  <dcterms:modified xsi:type="dcterms:W3CDTF">2024-02-19T07:55:00Z</dcterms:modified>
</cp:coreProperties>
</file>